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4891" w14:textId="3000B6E2" w:rsidR="00BD529E" w:rsidRDefault="00B4018C">
      <w:pPr>
        <w:pStyle w:val="Standard"/>
        <w:spacing w:after="120" w:line="240" w:lineRule="auto"/>
      </w:pPr>
      <w:r>
        <w:rPr>
          <w:noProof/>
        </w:rPr>
        <w:drawing>
          <wp:anchor distT="0" distB="0" distL="114300" distR="114300" simplePos="0" relativeHeight="251659264" behindDoc="0" locked="0" layoutInCell="1" allowOverlap="1" wp14:anchorId="2674C622" wp14:editId="5757F398">
            <wp:simplePos x="0" y="0"/>
            <wp:positionH relativeFrom="column">
              <wp:posOffset>4434840</wp:posOffset>
            </wp:positionH>
            <wp:positionV relativeFrom="paragraph">
              <wp:posOffset>-160020</wp:posOffset>
            </wp:positionV>
            <wp:extent cx="1324058" cy="1351280"/>
            <wp:effectExtent l="0" t="0" r="9525" b="1270"/>
            <wp:wrapNone/>
            <wp:docPr id="14251091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058"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Style w:val="Policepardfaut"/>
          <w:rFonts w:ascii="Arial Narrow" w:hAnsi="Arial Narrow"/>
          <w:b/>
          <w:color w:val="8A157E"/>
          <w:sz w:val="40"/>
          <w:szCs w:val="32"/>
        </w:rPr>
        <w:t xml:space="preserve">Institut international du </w:t>
      </w:r>
      <w:r w:rsidR="00000000">
        <w:rPr>
          <w:rStyle w:val="Policepardfaut"/>
          <w:rFonts w:ascii="Arial Narrow" w:hAnsi="Arial Narrow"/>
          <w:b/>
          <w:color w:val="801A5E"/>
          <w:sz w:val="40"/>
          <w:szCs w:val="32"/>
        </w:rPr>
        <w:t>théâtre</w:t>
      </w:r>
      <w:r w:rsidR="00000000">
        <w:rPr>
          <w:rStyle w:val="Policepardfaut"/>
          <w:rFonts w:ascii="Arial Narrow" w:hAnsi="Arial Narrow"/>
          <w:b/>
          <w:color w:val="8A157E"/>
          <w:sz w:val="40"/>
          <w:szCs w:val="32"/>
        </w:rPr>
        <w:t xml:space="preserve"> ITI</w:t>
      </w:r>
      <w:r w:rsidR="00000000">
        <w:rPr>
          <w:rStyle w:val="Policepardfaut"/>
          <w:rFonts w:ascii="Arial Narrow" w:hAnsi="Arial Narrow"/>
          <w:sz w:val="28"/>
        </w:rPr>
        <w:br/>
      </w:r>
      <w:r w:rsidR="00000000">
        <w:rPr>
          <w:rStyle w:val="Policepardfaut"/>
          <w:rFonts w:ascii="Arial Narrow" w:hAnsi="Arial Narrow"/>
          <w:b/>
          <w:sz w:val="28"/>
        </w:rPr>
        <w:t>Organisation mondiale des arts de la scène</w:t>
      </w:r>
      <w:r w:rsidR="00000000">
        <w:br/>
      </w:r>
      <w:bookmarkStart w:id="0" w:name="_Hlk15175"/>
      <w:r w:rsidR="00000000">
        <w:rPr>
          <w:rStyle w:val="Policepardfaut"/>
          <w:rFonts w:ascii="Garamond" w:hAnsi="Garamond"/>
          <w:b/>
          <w:color w:val="8A157E"/>
          <w:sz w:val="24"/>
          <w:szCs w:val="24"/>
        </w:rPr>
        <w:br/>
      </w:r>
      <w:r w:rsidR="00000000">
        <w:rPr>
          <w:rStyle w:val="Policepardfaut"/>
          <w:rFonts w:ascii="Garamond" w:hAnsi="Garamond"/>
          <w:b/>
          <w:color w:val="8A157E"/>
          <w:sz w:val="28"/>
          <w:szCs w:val="28"/>
        </w:rPr>
        <w:br/>
      </w:r>
      <w:r w:rsidR="00000000">
        <w:rPr>
          <w:rStyle w:val="Policepardfaut"/>
          <w:rFonts w:cs="Calibri"/>
          <w:b/>
          <w:color w:val="8A157E"/>
          <w:sz w:val="28"/>
          <w:szCs w:val="28"/>
        </w:rPr>
        <w:t>Journée mondiale du théâtre 2024 – 27 mars</w:t>
      </w:r>
      <w:r w:rsidR="00000000">
        <w:rPr>
          <w:rStyle w:val="Policepardfaut"/>
          <w:rFonts w:cs="Calibri"/>
          <w:b/>
          <w:color w:val="8A157E"/>
          <w:sz w:val="28"/>
          <w:szCs w:val="28"/>
        </w:rPr>
        <w:br/>
      </w:r>
      <w:r w:rsidR="00000000">
        <w:rPr>
          <w:rStyle w:val="Policepardfaut"/>
          <w:rFonts w:cs="Calibri"/>
          <w:b/>
          <w:color w:val="8A157E"/>
          <w:sz w:val="28"/>
          <w:szCs w:val="28"/>
        </w:rPr>
        <w:br/>
      </w:r>
      <w:r w:rsidR="00000000">
        <w:rPr>
          <w:rStyle w:val="Policepardfaut"/>
          <w:rFonts w:cs="Calibri"/>
          <w:b/>
          <w:sz w:val="28"/>
          <w:szCs w:val="28"/>
        </w:rPr>
        <w:t>Biographie de Jon FOSSE</w:t>
      </w:r>
      <w:r w:rsidR="00000000">
        <w:rPr>
          <w:rStyle w:val="Policepardfaut"/>
          <w:rFonts w:cs="Calibri"/>
          <w:bCs/>
          <w:sz w:val="28"/>
          <w:szCs w:val="28"/>
        </w:rPr>
        <w:t>, Norvège</w:t>
      </w:r>
      <w:r w:rsidR="00000000">
        <w:rPr>
          <w:rStyle w:val="Policepardfaut"/>
          <w:rFonts w:cs="Calibri"/>
          <w:b/>
          <w:sz w:val="24"/>
          <w:szCs w:val="24"/>
        </w:rPr>
        <w:br/>
      </w:r>
      <w:r w:rsidR="00000000">
        <w:rPr>
          <w:rStyle w:val="Policepardfaut"/>
          <w:rFonts w:cs="Calibri"/>
          <w:sz w:val="28"/>
          <w:szCs w:val="28"/>
        </w:rPr>
        <w:t>Écrivain et auteur dramatique norvégien.</w:t>
      </w:r>
      <w:r w:rsidR="00000000">
        <w:rPr>
          <w:rStyle w:val="Policepardfaut"/>
          <w:rFonts w:cs="Calibri"/>
          <w:b/>
          <w:sz w:val="24"/>
          <w:szCs w:val="24"/>
        </w:rPr>
        <w:br/>
      </w:r>
    </w:p>
    <w:bookmarkEnd w:id="0"/>
    <w:p w14:paraId="72BEB219" w14:textId="77777777" w:rsidR="00BD529E" w:rsidRDefault="00000000">
      <w:pPr>
        <w:pStyle w:val="Standard"/>
        <w:pBdr>
          <w:bottom w:val="single" w:sz="6" w:space="1" w:color="000000"/>
        </w:pBdr>
        <w:spacing w:line="360" w:lineRule="auto"/>
        <w:rPr>
          <w:rFonts w:cs="Calibri"/>
          <w:color w:val="8A157E"/>
          <w:sz w:val="24"/>
          <w:szCs w:val="24"/>
        </w:rPr>
      </w:pPr>
      <w:r>
        <w:rPr>
          <w:rFonts w:cs="Calibri"/>
          <w:color w:val="8A157E"/>
          <w:sz w:val="24"/>
          <w:szCs w:val="24"/>
        </w:rPr>
        <w:t>Français (traduction)</w:t>
      </w:r>
    </w:p>
    <w:p w14:paraId="18C3579B" w14:textId="77777777" w:rsidR="00BD529E" w:rsidRDefault="00BD529E">
      <w:pPr>
        <w:pStyle w:val="Standard"/>
        <w:spacing w:line="276" w:lineRule="auto"/>
        <w:rPr>
          <w:rFonts w:cs="Calibri"/>
          <w:sz w:val="24"/>
          <w:szCs w:val="24"/>
        </w:rPr>
      </w:pPr>
    </w:p>
    <w:p w14:paraId="190485CA" w14:textId="77777777" w:rsidR="00BD529E" w:rsidRDefault="00000000">
      <w:pPr>
        <w:pStyle w:val="Textbody"/>
        <w:jc w:val="both"/>
      </w:pPr>
      <w:r>
        <w:rPr>
          <w:rStyle w:val="Policepardfaut"/>
          <w:rFonts w:cs="Calibri"/>
          <w:sz w:val="24"/>
          <w:szCs w:val="24"/>
          <w:lang w:eastAsia="ja-JP"/>
        </w:rPr>
        <w:t>Jon Fosse est un écrivain norvégien renommé né en 1959. Il est reconnu pour son vaste corpus d'œuvres, comprenant des pièces de théâtre, des romans, des recueils de poésie, des essais, des livres pour enfants ainsi que des traductions. Sa signature littéraire distinctive, caractérisée par un style minimaliste d’une grande profondeur émotionnelle, a contribué à faire de Jon Fosse l'un des auteurs dramatiques les plus représentés à travers le monde. En 2023, il a été récompensé du prix Nobel de littérature pour ses pièces innovantes et sa prose qui donne voix à l'indicible.</w:t>
      </w:r>
    </w:p>
    <w:p w14:paraId="5D8D5DDD" w14:textId="77777777" w:rsidR="00BD529E" w:rsidRDefault="00000000">
      <w:pPr>
        <w:pStyle w:val="Textbody"/>
        <w:jc w:val="both"/>
      </w:pPr>
      <w:r>
        <w:rPr>
          <w:rStyle w:val="Policepardfaut"/>
          <w:sz w:val="24"/>
          <w:szCs w:val="24"/>
        </w:rPr>
        <w:t>L'œuvre de Fosse a été traduite en plus de cinquante langues, avec ses productions présentées sur plus d'un millier de scènes à travers le monde. Ses pièces minimalistes et introspectives, souvent proches de la prose lyrique et de la poésie, poursuivent la tradition théâtrale établie par Henrik Ibsen au XIX</w:t>
      </w:r>
      <w:r>
        <w:rPr>
          <w:rStyle w:val="Policepardfaut"/>
          <w:sz w:val="24"/>
          <w:szCs w:val="24"/>
          <w:vertAlign w:val="superscript"/>
        </w:rPr>
        <w:t>e</w:t>
      </w:r>
      <w:r>
        <w:rPr>
          <w:rStyle w:val="Policepardfaut"/>
          <w:sz w:val="24"/>
          <w:szCs w:val="24"/>
        </w:rPr>
        <w:t> siècle. Le travail de Fosse est associé au théâtre post-dramatique, ses romans notables ont été caractérisés comme étant postmodernes et avant-gardistes en raison de leur minimalisme, de leur lyrisme et de leur utilisation non conventionnelle de la syntaxe.</w:t>
      </w:r>
    </w:p>
    <w:p w14:paraId="1356CC11" w14:textId="77777777" w:rsidR="00BD529E" w:rsidRDefault="00000000">
      <w:pPr>
        <w:pStyle w:val="Textbody"/>
        <w:jc w:val="both"/>
      </w:pPr>
      <w:r>
        <w:rPr>
          <w:rStyle w:val="Policepardfaut"/>
          <w:sz w:val="24"/>
          <w:szCs w:val="24"/>
        </w:rPr>
        <w:t>Fosse a acquis une renommée internationale en tant qu’</w:t>
      </w:r>
      <w:r>
        <w:rPr>
          <w:rStyle w:val="Policepardfaut"/>
          <w:rFonts w:cs="Calibri"/>
          <w:sz w:val="24"/>
          <w:szCs w:val="24"/>
        </w:rPr>
        <w:t xml:space="preserve">auteur dramatique </w:t>
      </w:r>
      <w:r>
        <w:rPr>
          <w:rStyle w:val="Policepardfaut"/>
          <w:sz w:val="24"/>
          <w:szCs w:val="24"/>
        </w:rPr>
        <w:t xml:space="preserve">avec sa pièce </w:t>
      </w:r>
      <w:r>
        <w:rPr>
          <w:rStyle w:val="Policepardfaut"/>
          <w:i/>
          <w:iCs/>
          <w:sz w:val="24"/>
          <w:szCs w:val="24"/>
        </w:rPr>
        <w:t>Nokon kjem til å komme</w:t>
      </w:r>
      <w:r>
        <w:rPr>
          <w:rStyle w:val="Policepardfaut"/>
          <w:sz w:val="24"/>
          <w:szCs w:val="24"/>
        </w:rPr>
        <w:t xml:space="preserve"> (1996 ; </w:t>
      </w:r>
      <w:r>
        <w:rPr>
          <w:rStyle w:val="Policepardfaut"/>
          <w:rFonts w:cs="Calibri"/>
          <w:i/>
          <w:iCs/>
          <w:color w:val="000000"/>
          <w:sz w:val="24"/>
          <w:szCs w:val="24"/>
          <w:lang w:eastAsia="ja-JP"/>
        </w:rPr>
        <w:t>Someone is going to come</w:t>
      </w:r>
      <w:r>
        <w:rPr>
          <w:rStyle w:val="Policepardfaut"/>
          <w:sz w:val="24"/>
          <w:szCs w:val="24"/>
        </w:rPr>
        <w:t>, 2002), reconnue pour sa réduction radicale du langage et son expression puissante des émotions humaines. Inspiré par des artistes tels que Samuel Beckett et Thomas Bernhard, Fosse mêle des liens locaux avec des techniques modernistes. Ses œuvres dépeignent les incertitudes et les vulnérabilités des expériences humaines sans mépris nihiliste.</w:t>
      </w:r>
    </w:p>
    <w:p w14:paraId="03DF676B" w14:textId="77777777" w:rsidR="00BD529E" w:rsidRDefault="00000000">
      <w:pPr>
        <w:pStyle w:val="Textbody"/>
        <w:jc w:val="both"/>
      </w:pPr>
      <w:r>
        <w:rPr>
          <w:rStyle w:val="Policepardfaut"/>
          <w:sz w:val="24"/>
          <w:szCs w:val="24"/>
        </w:rPr>
        <w:t xml:space="preserve">Dans ses pièces, Fosse laisse souvent des paroles ou des actions incomplètes, créant ainsi une sensation de tension non résolue. Des thèmes d'incertitude et d'anxiété sont explorés dans des pièces comme </w:t>
      </w:r>
      <w:r>
        <w:rPr>
          <w:rStyle w:val="Policepardfaut"/>
          <w:i/>
          <w:iCs/>
          <w:sz w:val="24"/>
          <w:szCs w:val="24"/>
        </w:rPr>
        <w:t xml:space="preserve">Natta syng sine songar </w:t>
      </w:r>
      <w:r>
        <w:rPr>
          <w:rStyle w:val="Policepardfaut"/>
          <w:sz w:val="24"/>
          <w:szCs w:val="24"/>
        </w:rPr>
        <w:t xml:space="preserve">(1998 ; </w:t>
      </w:r>
      <w:r>
        <w:rPr>
          <w:rStyle w:val="Policepardfaut"/>
          <w:rFonts w:cs="Calibri"/>
          <w:i/>
          <w:iCs/>
          <w:color w:val="000000"/>
          <w:sz w:val="24"/>
          <w:szCs w:val="24"/>
          <w:lang w:eastAsia="ja-JP"/>
        </w:rPr>
        <w:t>Nightsongs</w:t>
      </w:r>
      <w:r>
        <w:rPr>
          <w:rStyle w:val="Policepardfaut"/>
          <w:sz w:val="24"/>
          <w:szCs w:val="24"/>
        </w:rPr>
        <w:t xml:space="preserve">, 2002) et </w:t>
      </w:r>
      <w:r>
        <w:rPr>
          <w:rStyle w:val="Policepardfaut"/>
          <w:i/>
          <w:iCs/>
          <w:sz w:val="24"/>
          <w:szCs w:val="24"/>
        </w:rPr>
        <w:t>Dødsvariasjonar</w:t>
      </w:r>
      <w:r>
        <w:rPr>
          <w:rStyle w:val="Policepardfaut"/>
          <w:sz w:val="24"/>
          <w:szCs w:val="24"/>
        </w:rPr>
        <w:t xml:space="preserve"> (2002 ; </w:t>
      </w:r>
      <w:r>
        <w:rPr>
          <w:rStyle w:val="Policepardfaut"/>
          <w:rFonts w:cs="Calibri"/>
          <w:i/>
          <w:iCs/>
          <w:color w:val="000000"/>
          <w:sz w:val="24"/>
          <w:szCs w:val="24"/>
          <w:lang w:eastAsia="ja-JP"/>
        </w:rPr>
        <w:t>Death Variations</w:t>
      </w:r>
      <w:r>
        <w:rPr>
          <w:rStyle w:val="Policepardfaut"/>
          <w:sz w:val="24"/>
          <w:szCs w:val="24"/>
        </w:rPr>
        <w:t>, 2004). Le courage de Fosse à plonger dans les angoisses de la vie quotidienne a contribué à sa reconnaissance globale.</w:t>
      </w:r>
    </w:p>
    <w:p w14:paraId="2C8F330A" w14:textId="77777777" w:rsidR="00BD529E" w:rsidRDefault="00000000">
      <w:pPr>
        <w:pStyle w:val="Textbody"/>
        <w:jc w:val="both"/>
      </w:pPr>
      <w:r>
        <w:rPr>
          <w:rStyle w:val="Policepardfaut"/>
          <w:sz w:val="24"/>
          <w:szCs w:val="24"/>
        </w:rPr>
        <w:t xml:space="preserve">Les romans de Fosse, tels que </w:t>
      </w:r>
      <w:r>
        <w:rPr>
          <w:rStyle w:val="Policepardfaut"/>
          <w:i/>
          <w:iCs/>
          <w:sz w:val="24"/>
          <w:szCs w:val="24"/>
        </w:rPr>
        <w:t>Morgon og kveld</w:t>
      </w:r>
      <w:r>
        <w:rPr>
          <w:rStyle w:val="Policepardfaut"/>
          <w:sz w:val="24"/>
          <w:szCs w:val="24"/>
        </w:rPr>
        <w:t xml:space="preserve"> (2000 ; </w:t>
      </w:r>
      <w:r>
        <w:rPr>
          <w:rStyle w:val="Policepardfaut"/>
          <w:rFonts w:cs="Calibri"/>
          <w:i/>
          <w:iCs/>
          <w:color w:val="000000"/>
          <w:sz w:val="24"/>
          <w:szCs w:val="24"/>
          <w:lang w:eastAsia="ja-JP"/>
        </w:rPr>
        <w:t>Morning and evening</w:t>
      </w:r>
      <w:r>
        <w:rPr>
          <w:rStyle w:val="Policepardfaut"/>
          <w:sz w:val="24"/>
          <w:szCs w:val="24"/>
        </w:rPr>
        <w:t xml:space="preserve">, 2015) et </w:t>
      </w:r>
      <w:r>
        <w:rPr>
          <w:rStyle w:val="Policepardfaut"/>
          <w:i/>
          <w:iCs/>
          <w:sz w:val="24"/>
          <w:szCs w:val="24"/>
        </w:rPr>
        <w:t>Det er Ales</w:t>
      </w:r>
      <w:r>
        <w:rPr>
          <w:rStyle w:val="Policepardfaut"/>
          <w:sz w:val="24"/>
          <w:szCs w:val="24"/>
        </w:rPr>
        <w:t xml:space="preserve"> (2004 ; </w:t>
      </w:r>
      <w:r>
        <w:rPr>
          <w:rStyle w:val="Policepardfaut"/>
          <w:rFonts w:cs="Calibri"/>
          <w:i/>
          <w:iCs/>
          <w:color w:val="000000"/>
          <w:sz w:val="24"/>
          <w:szCs w:val="24"/>
          <w:lang w:eastAsia="ja-JP"/>
        </w:rPr>
        <w:t>Aliss at the fire</w:t>
      </w:r>
      <w:r>
        <w:rPr>
          <w:rStyle w:val="Policepardfaut"/>
          <w:sz w:val="24"/>
          <w:szCs w:val="24"/>
        </w:rPr>
        <w:t xml:space="preserve">, 2010), mettent en valeur son langage unique caractérisé par des pauses, des interruptions, des négations et des questionnements profonds. La trilogie </w:t>
      </w:r>
      <w:r>
        <w:rPr>
          <w:rStyle w:val="Policepardfaut"/>
          <w:i/>
          <w:iCs/>
          <w:sz w:val="24"/>
          <w:szCs w:val="24"/>
        </w:rPr>
        <w:lastRenderedPageBreak/>
        <w:t>Trilogien</w:t>
      </w:r>
      <w:r>
        <w:rPr>
          <w:rStyle w:val="Policepardfaut"/>
          <w:sz w:val="24"/>
          <w:szCs w:val="24"/>
        </w:rPr>
        <w:t xml:space="preserve"> (2016) et la septologie </w:t>
      </w:r>
      <w:r>
        <w:rPr>
          <w:rStyle w:val="Policepardfaut"/>
          <w:i/>
          <w:iCs/>
          <w:sz w:val="24"/>
          <w:szCs w:val="24"/>
        </w:rPr>
        <w:t>Det andre namnet</w:t>
      </w:r>
      <w:r>
        <w:rPr>
          <w:rStyle w:val="Policepardfaut"/>
          <w:sz w:val="24"/>
          <w:szCs w:val="24"/>
        </w:rPr>
        <w:t xml:space="preserve"> (2019 ; </w:t>
      </w:r>
      <w:r>
        <w:rPr>
          <w:rStyle w:val="Policepardfaut"/>
          <w:rFonts w:cs="Calibri"/>
          <w:i/>
          <w:iCs/>
          <w:color w:val="000000"/>
          <w:sz w:val="24"/>
          <w:szCs w:val="24"/>
          <w:lang w:eastAsia="ja-JP"/>
        </w:rPr>
        <w:t>The other name</w:t>
      </w:r>
      <w:r>
        <w:rPr>
          <w:rStyle w:val="Policepardfaut"/>
          <w:rFonts w:cs="Calibri"/>
          <w:color w:val="000000"/>
          <w:sz w:val="24"/>
          <w:szCs w:val="24"/>
          <w:lang w:eastAsia="ja-JP"/>
        </w:rPr>
        <w:t xml:space="preserve">, </w:t>
      </w:r>
      <w:r>
        <w:rPr>
          <w:rStyle w:val="Policepardfaut"/>
          <w:sz w:val="24"/>
          <w:szCs w:val="24"/>
        </w:rPr>
        <w:t>2020) démontrent davantage l'exploration par Fosse de l'amour, de la violence, de la mort et de la réconciliation.</w:t>
      </w:r>
    </w:p>
    <w:p w14:paraId="0CA5BED5" w14:textId="77777777" w:rsidR="00BD529E" w:rsidRDefault="00000000">
      <w:pPr>
        <w:pStyle w:val="Textbody"/>
        <w:jc w:val="both"/>
      </w:pPr>
      <w:r>
        <w:rPr>
          <w:rStyle w:val="Policepardfaut"/>
          <w:sz w:val="24"/>
          <w:szCs w:val="24"/>
        </w:rPr>
        <w:t xml:space="preserve">L'utilisation de l'imagerie et du symbolisme est évidente dans les œuvres poétiques de Fosse, notamment </w:t>
      </w:r>
      <w:r>
        <w:rPr>
          <w:rStyle w:val="Policepardfaut"/>
          <w:i/>
          <w:iCs/>
          <w:sz w:val="24"/>
          <w:szCs w:val="24"/>
        </w:rPr>
        <w:t>Sterk vind</w:t>
      </w:r>
      <w:r>
        <w:rPr>
          <w:rStyle w:val="Policepardfaut"/>
          <w:sz w:val="24"/>
          <w:szCs w:val="24"/>
        </w:rPr>
        <w:t xml:space="preserve"> (2021) et son recueil de poésie </w:t>
      </w:r>
      <w:r>
        <w:rPr>
          <w:rStyle w:val="Policepardfaut"/>
          <w:i/>
          <w:iCs/>
          <w:sz w:val="24"/>
          <w:szCs w:val="24"/>
        </w:rPr>
        <w:t>Dikt i samling</w:t>
      </w:r>
      <w:r>
        <w:rPr>
          <w:rStyle w:val="Policepardfaut"/>
          <w:sz w:val="24"/>
          <w:szCs w:val="24"/>
        </w:rPr>
        <w:t xml:space="preserve"> (2021). Il a également traduit des œuvres de Georg Trakl et Rainer Maria Rilke en norvégien occidental (nynorsk).</w:t>
      </w:r>
    </w:p>
    <w:p w14:paraId="4D96ADB2" w14:textId="77777777" w:rsidR="00BD529E" w:rsidRDefault="00000000">
      <w:pPr>
        <w:pStyle w:val="Textbody"/>
        <w:jc w:val="both"/>
        <w:rPr>
          <w:rStyle w:val="Policepardfaut"/>
          <w:sz w:val="24"/>
          <w:szCs w:val="24"/>
        </w:rPr>
      </w:pPr>
      <w:r>
        <w:rPr>
          <w:rStyle w:val="Policepardfaut"/>
          <w:sz w:val="24"/>
          <w:szCs w:val="24"/>
        </w:rPr>
        <w:t>En résumé, les œuvres de Jon Fosse plongent dans l'essence de la condition humaine, abordant des thèmes tels que l'incertitude, l'anxiété, l'amour et la perte. Avec son style d'écriture unique et son exploration profonde des situations quotidiennes, il s'est imposé comme une figure majeure de la littérature et du théâtre contemporain.</w:t>
      </w:r>
    </w:p>
    <w:p w14:paraId="585E8141" w14:textId="77777777" w:rsidR="00090672" w:rsidRDefault="00090672">
      <w:pPr>
        <w:pStyle w:val="Textbody"/>
        <w:jc w:val="both"/>
        <w:rPr>
          <w:rStyle w:val="Policepardfaut"/>
          <w:sz w:val="24"/>
          <w:szCs w:val="24"/>
        </w:rPr>
      </w:pPr>
    </w:p>
    <w:p w14:paraId="3574DD8F" w14:textId="6A53A5F4" w:rsidR="00090672" w:rsidRPr="00090672" w:rsidRDefault="00090672">
      <w:pPr>
        <w:pStyle w:val="Textbody"/>
        <w:jc w:val="both"/>
        <w:rPr>
          <w:rStyle w:val="Policepardfaut"/>
          <w:sz w:val="24"/>
          <w:szCs w:val="24"/>
        </w:rPr>
      </w:pPr>
      <w:r w:rsidRPr="00090672">
        <w:rPr>
          <w:rStyle w:val="Policepardfaut"/>
          <w:sz w:val="24"/>
          <w:szCs w:val="24"/>
        </w:rPr>
        <w:t>Traduction</w:t>
      </w:r>
      <w:r>
        <w:rPr>
          <w:rStyle w:val="Policepardfaut"/>
          <w:sz w:val="24"/>
          <w:szCs w:val="24"/>
        </w:rPr>
        <w:t xml:space="preserve"> </w:t>
      </w:r>
      <w:r w:rsidRPr="00090672">
        <w:rPr>
          <w:rStyle w:val="Policepardfaut"/>
          <w:sz w:val="24"/>
          <w:szCs w:val="24"/>
        </w:rPr>
        <w:t>par Benjamin Favraud</w:t>
      </w:r>
    </w:p>
    <w:sectPr w:rsidR="00090672" w:rsidRPr="0009067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3E3B" w14:textId="77777777" w:rsidR="00E10718" w:rsidRDefault="00E10718">
      <w:r>
        <w:separator/>
      </w:r>
    </w:p>
  </w:endnote>
  <w:endnote w:type="continuationSeparator" w:id="0">
    <w:p w14:paraId="054CFF72" w14:textId="77777777" w:rsidR="00E10718" w:rsidRDefault="00E1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0234" w14:textId="77777777" w:rsidR="00E10718" w:rsidRDefault="00E10718">
      <w:r>
        <w:rPr>
          <w:color w:val="000000"/>
        </w:rPr>
        <w:separator/>
      </w:r>
    </w:p>
  </w:footnote>
  <w:footnote w:type="continuationSeparator" w:id="0">
    <w:p w14:paraId="6ED33164" w14:textId="77777777" w:rsidR="00E10718" w:rsidRDefault="00E10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A67"/>
    <w:multiLevelType w:val="multilevel"/>
    <w:tmpl w:val="1ECCEE04"/>
    <w:styleLink w:val="WWNum5"/>
    <w:lvl w:ilvl="0">
      <w:start w:val="1"/>
      <w:numFmt w:val="decimal"/>
      <w:lvlText w:val="(%1)"/>
      <w:lvlJc w:val="left"/>
      <w:pPr>
        <w:ind w:left="720" w:hanging="360"/>
      </w:pPr>
      <w:rPr>
        <w:color w:val="606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2F2999"/>
    <w:multiLevelType w:val="multilevel"/>
    <w:tmpl w:val="2CBED39E"/>
    <w:styleLink w:val="WWNum6"/>
    <w:lvl w:ilvl="0">
      <w:start w:val="1"/>
      <w:numFmt w:val="decimal"/>
      <w:lvlText w:val="(%1)"/>
      <w:lvlJc w:val="left"/>
      <w:pPr>
        <w:ind w:left="720" w:hanging="720"/>
      </w:pPr>
      <w:rPr>
        <w:color w:val="606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0B75ED"/>
    <w:multiLevelType w:val="multilevel"/>
    <w:tmpl w:val="D2045F5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664F2A88"/>
    <w:multiLevelType w:val="multilevel"/>
    <w:tmpl w:val="E1AE8C34"/>
    <w:styleLink w:val="WWNum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51053D"/>
    <w:multiLevelType w:val="multilevel"/>
    <w:tmpl w:val="3352363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BF2D47"/>
    <w:multiLevelType w:val="multilevel"/>
    <w:tmpl w:val="6A467BB2"/>
    <w:styleLink w:val="WWNum3"/>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B279DB"/>
    <w:multiLevelType w:val="multilevel"/>
    <w:tmpl w:val="45E00A9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779642">
    <w:abstractNumId w:val="2"/>
  </w:num>
  <w:num w:numId="2" w16cid:durableId="1193038238">
    <w:abstractNumId w:val="6"/>
  </w:num>
  <w:num w:numId="3" w16cid:durableId="245842830">
    <w:abstractNumId w:val="3"/>
  </w:num>
  <w:num w:numId="4" w16cid:durableId="1734699517">
    <w:abstractNumId w:val="5"/>
  </w:num>
  <w:num w:numId="5" w16cid:durableId="9114077">
    <w:abstractNumId w:val="4"/>
  </w:num>
  <w:num w:numId="6" w16cid:durableId="1799687045">
    <w:abstractNumId w:val="0"/>
  </w:num>
  <w:num w:numId="7" w16cid:durableId="972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9E"/>
    <w:rsid w:val="00090672"/>
    <w:rsid w:val="00B4018C"/>
    <w:rsid w:val="00BD529E"/>
    <w:rsid w:val="00E10718"/>
    <w:rsid w:val="00EA02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FB92B"/>
  <w15:docId w15:val="{58077A56-9B8A-4124-A748-354FC49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Arial"/>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icepardfaut">
    <w:name w:val="Police par défaut"/>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微软雅黑" w:hAnsi="Liberation Sans"/>
      <w:sz w:val="28"/>
      <w:szCs w:val="28"/>
    </w:rPr>
  </w:style>
  <w:style w:type="paragraph" w:customStyle="1" w:styleId="Textbody">
    <w:name w:val="Text body"/>
    <w:basedOn w:val="Standard"/>
    <w:pPr>
      <w:spacing w:after="140" w:line="276" w:lineRule="auto"/>
    </w:pPr>
  </w:style>
  <w:style w:type="paragraph" w:customStyle="1" w:styleId="Liste">
    <w:name w:val="Liste"/>
    <w:basedOn w:val="Textbody"/>
    <w:rPr>
      <w:sz w:val="24"/>
    </w:rPr>
  </w:style>
  <w:style w:type="paragraph" w:customStyle="1" w:styleId="Lgende">
    <w:name w:val="Légende"/>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Paragraphedeliste">
    <w:name w:val="Paragraphe de liste"/>
    <w:basedOn w:val="Standard"/>
    <w:pPr>
      <w:ind w:left="720"/>
    </w:pPr>
  </w:style>
  <w:style w:type="paragraph" w:customStyle="1" w:styleId="Footnote">
    <w:name w:val="Footnote"/>
    <w:basedOn w:val="Standard"/>
    <w:pPr>
      <w:spacing w:after="0" w:line="240" w:lineRule="auto"/>
    </w:pPr>
    <w:rPr>
      <w:sz w:val="20"/>
      <w:szCs w:val="20"/>
      <w:lang w:eastAsia="ja-JP"/>
    </w:rPr>
  </w:style>
  <w:style w:type="paragraph" w:styleId="a3">
    <w:name w:val="Normal (Web)"/>
    <w:basedOn w:val="Standard"/>
    <w:pPr>
      <w:spacing w:before="280" w:after="280" w:line="240" w:lineRule="auto"/>
    </w:pPr>
    <w:rPr>
      <w:rFonts w:ascii="Times New Roman" w:eastAsia="Times New Roman" w:hAnsi="Times New Roman" w:cs="Times New Roman"/>
      <w:sz w:val="24"/>
      <w:szCs w:val="24"/>
      <w:lang w:eastAsia="zh-CN"/>
    </w:rPr>
  </w:style>
  <w:style w:type="paragraph" w:customStyle="1" w:styleId="HeaderandFooter">
    <w:name w:val="Header and Footer"/>
    <w:basedOn w:val="Standard"/>
  </w:style>
  <w:style w:type="paragraph" w:customStyle="1" w:styleId="En-tte">
    <w:name w:val="En-tête"/>
    <w:basedOn w:val="Standard"/>
    <w:pPr>
      <w:tabs>
        <w:tab w:val="center" w:pos="4536"/>
        <w:tab w:val="right" w:pos="9072"/>
      </w:tabs>
      <w:spacing w:after="0" w:line="240" w:lineRule="auto"/>
    </w:pPr>
  </w:style>
  <w:style w:type="paragraph" w:customStyle="1" w:styleId="Pieddepage">
    <w:name w:val="Pied de page"/>
    <w:basedOn w:val="Standard"/>
    <w:pPr>
      <w:tabs>
        <w:tab w:val="center" w:pos="4536"/>
        <w:tab w:val="right" w:pos="9072"/>
      </w:tabs>
      <w:spacing w:after="0" w:line="240" w:lineRule="auto"/>
    </w:pPr>
  </w:style>
  <w:style w:type="character" w:customStyle="1" w:styleId="Internetlink">
    <w:name w:val="Internet link"/>
    <w:basedOn w:val="Policepardfaut"/>
    <w:rPr>
      <w:color w:val="0000FF"/>
      <w:u w:val="single"/>
    </w:rPr>
  </w:style>
  <w:style w:type="character" w:customStyle="1" w:styleId="a4">
    <w:name w:val="脚注文本 字符"/>
    <w:basedOn w:val="Policepardfaut"/>
    <w:rPr>
      <w:sz w:val="20"/>
      <w:szCs w:val="20"/>
      <w:lang w:eastAsia="ja-JP"/>
    </w:rPr>
  </w:style>
  <w:style w:type="character" w:customStyle="1" w:styleId="Footnoteanchor">
    <w:name w:val="Footnote anchor"/>
    <w:rPr>
      <w:position w:val="0"/>
      <w:vertAlign w:val="superscript"/>
    </w:rPr>
  </w:style>
  <w:style w:type="character" w:customStyle="1" w:styleId="FootnoteCharacters">
    <w:name w:val="Footnote Characters"/>
    <w:basedOn w:val="Policepardfaut"/>
    <w:rPr>
      <w:position w:val="0"/>
      <w:vertAlign w:val="superscript"/>
    </w:rPr>
  </w:style>
  <w:style w:type="character" w:customStyle="1" w:styleId="a5">
    <w:name w:val="页眉 字符"/>
    <w:basedOn w:val="Policepardfaut"/>
  </w:style>
  <w:style w:type="character" w:customStyle="1" w:styleId="a6">
    <w:name w:val="页脚 字符"/>
    <w:basedOn w:val="Policepardfaut"/>
  </w:style>
  <w:style w:type="character" w:customStyle="1" w:styleId="ListLabel1">
    <w:name w:val="ListLabel 1"/>
    <w:rPr>
      <w:rFonts w:eastAsia="Times New Roman" w:cs="Times New Roman"/>
    </w:rPr>
  </w:style>
  <w:style w:type="character" w:customStyle="1" w:styleId="ListLabel2">
    <w:name w:val="ListLabel 2"/>
    <w:rPr>
      <w:i/>
    </w:rPr>
  </w:style>
  <w:style w:type="character" w:customStyle="1" w:styleId="ListLabel3">
    <w:name w:val="ListLabel 3"/>
    <w:rPr>
      <w:color w:val="606060"/>
    </w:rPr>
  </w:style>
  <w:style w:type="character" w:customStyle="1" w:styleId="ListLabel4">
    <w:name w:val="ListLabel 4"/>
    <w:rPr>
      <w:color w:val="606060"/>
    </w:rPr>
  </w:style>
  <w:style w:type="paragraph" w:customStyle="1" w:styleId="Rvision">
    <w:name w:val="Révision"/>
    <w:pPr>
      <w:widowControl/>
      <w:textAlignment w:val="auto"/>
    </w:pPr>
  </w:style>
  <w:style w:type="character" w:customStyle="1" w:styleId="Marquedecommentaire">
    <w:name w:val="Marque de commentaire"/>
    <w:basedOn w:val="Policepardfaut"/>
    <w:rPr>
      <w:sz w:val="16"/>
      <w:szCs w:val="16"/>
    </w:rPr>
  </w:style>
  <w:style w:type="paragraph" w:customStyle="1" w:styleId="Commentaire">
    <w:name w:val="Commentaire"/>
    <w:basedOn w:val="a"/>
    <w:rPr>
      <w:sz w:val="20"/>
      <w:szCs w:val="20"/>
    </w:rPr>
  </w:style>
  <w:style w:type="character" w:customStyle="1" w:styleId="CommentaireCar">
    <w:name w:val="Commentaire Car"/>
    <w:basedOn w:val="Policepardfaut"/>
    <w:rPr>
      <w:sz w:val="20"/>
      <w:szCs w:val="20"/>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a7">
    <w:name w:val="header"/>
    <w:basedOn w:val="a"/>
    <w:link w:val="10"/>
    <w:uiPriority w:val="99"/>
    <w:unhideWhenUsed/>
    <w:rsid w:val="00090672"/>
    <w:pPr>
      <w:tabs>
        <w:tab w:val="center" w:pos="4153"/>
        <w:tab w:val="right" w:pos="8306"/>
      </w:tabs>
      <w:snapToGrid w:val="0"/>
      <w:jc w:val="center"/>
    </w:pPr>
    <w:rPr>
      <w:sz w:val="18"/>
      <w:szCs w:val="18"/>
    </w:rPr>
  </w:style>
  <w:style w:type="character" w:customStyle="1" w:styleId="10">
    <w:name w:val="页眉 字符1"/>
    <w:basedOn w:val="a0"/>
    <w:link w:val="a7"/>
    <w:uiPriority w:val="99"/>
    <w:rsid w:val="00090672"/>
    <w:rPr>
      <w:sz w:val="18"/>
      <w:szCs w:val="18"/>
    </w:rPr>
  </w:style>
  <w:style w:type="paragraph" w:styleId="a8">
    <w:name w:val="footer"/>
    <w:basedOn w:val="a"/>
    <w:link w:val="11"/>
    <w:uiPriority w:val="99"/>
    <w:unhideWhenUsed/>
    <w:rsid w:val="00090672"/>
    <w:pPr>
      <w:tabs>
        <w:tab w:val="center" w:pos="4153"/>
        <w:tab w:val="right" w:pos="8306"/>
      </w:tabs>
      <w:snapToGrid w:val="0"/>
    </w:pPr>
    <w:rPr>
      <w:sz w:val="18"/>
      <w:szCs w:val="18"/>
    </w:rPr>
  </w:style>
  <w:style w:type="character" w:customStyle="1" w:styleId="11">
    <w:name w:val="页脚 字符1"/>
    <w:basedOn w:val="a0"/>
    <w:link w:val="a8"/>
    <w:uiPriority w:val="99"/>
    <w:rsid w:val="00090672"/>
    <w:rPr>
      <w:sz w:val="18"/>
      <w:szCs w:val="18"/>
    </w:rPr>
  </w:style>
  <w:style w:type="numbering" w:customStyle="1" w:styleId="1">
    <w:name w:val="无列表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Leutenegger</dc:creator>
  <cp:lastModifiedBy>ITI SH</cp:lastModifiedBy>
  <cp:revision>3</cp:revision>
  <cp:lastPrinted>2024-01-25T08:36:00Z</cp:lastPrinted>
  <dcterms:created xsi:type="dcterms:W3CDTF">2024-01-25T08:35:00Z</dcterms:created>
  <dcterms:modified xsi:type="dcterms:W3CDTF">2024-01-25T08:36:00Z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GrammarlyDocumentId">
    <vt:lpwstr>c7e21bead4f9e8753d53247fb4527a94bd6dfb91e15cf428e1c729cc1322640b</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