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A69CB" w14:textId="371DF9A0" w:rsidR="00B37B32" w:rsidRPr="00863448" w:rsidRDefault="000D0BD0" w:rsidP="00863448">
      <w:pPr>
        <w:spacing w:after="120" w:line="240" w:lineRule="auto"/>
        <w:rPr>
          <w:rFonts w:ascii="Myriad Pro" w:hAnsi="Myriad Pro" w:cs="Arial"/>
          <w:szCs w:val="20"/>
        </w:rPr>
      </w:pPr>
      <w:r>
        <w:rPr>
          <w:noProof/>
          <w:sz w:val="28"/>
        </w:rPr>
        <w:drawing>
          <wp:anchor distT="0" distB="0" distL="114300" distR="114300" simplePos="0" relativeHeight="251658240" behindDoc="0" locked="0" layoutInCell="1" allowOverlap="1" wp14:anchorId="2CC02AF6" wp14:editId="2DB7AC88">
            <wp:simplePos x="0" y="0"/>
            <wp:positionH relativeFrom="column">
              <wp:posOffset>4683297</wp:posOffset>
            </wp:positionH>
            <wp:positionV relativeFrom="paragraph">
              <wp:posOffset>-457199</wp:posOffset>
            </wp:positionV>
            <wp:extent cx="1478998" cy="1482588"/>
            <wp:effectExtent l="0" t="0" r="6985"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ircle_color_EN_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1147" cy="1484742"/>
                    </a:xfrm>
                    <a:prstGeom prst="rect">
                      <a:avLst/>
                    </a:prstGeom>
                  </pic:spPr>
                </pic:pic>
              </a:graphicData>
            </a:graphic>
            <wp14:sizeRelH relativeFrom="margin">
              <wp14:pctWidth>0</wp14:pctWidth>
            </wp14:sizeRelH>
            <wp14:sizeRelV relativeFrom="margin">
              <wp14:pctHeight>0</wp14:pctHeight>
            </wp14:sizeRelV>
          </wp:anchor>
        </w:drawing>
      </w:r>
      <w:r w:rsidR="00B37B32" w:rsidRPr="00B211A6">
        <w:rPr>
          <w:rFonts w:ascii="Myriad Pro Cond" w:hAnsi="Myriad Pro Cond"/>
          <w:b/>
          <w:color w:val="8A157E"/>
          <w:sz w:val="40"/>
          <w:szCs w:val="32"/>
        </w:rPr>
        <w:t xml:space="preserve">International </w:t>
      </w:r>
      <w:r w:rsidR="00B37B32" w:rsidRPr="00B211A6">
        <w:rPr>
          <w:rFonts w:ascii="Myriad Pro Cond" w:hAnsi="Myriad Pro Cond"/>
          <w:b/>
          <w:color w:val="801A5E"/>
          <w:sz w:val="40"/>
          <w:szCs w:val="32"/>
        </w:rPr>
        <w:t>Theatre</w:t>
      </w:r>
      <w:r w:rsidR="00B37B32" w:rsidRPr="00B211A6">
        <w:rPr>
          <w:rFonts w:ascii="Myriad Pro Cond" w:hAnsi="Myriad Pro Cond"/>
          <w:b/>
          <w:color w:val="8A157E"/>
          <w:sz w:val="40"/>
          <w:szCs w:val="32"/>
        </w:rPr>
        <w:t xml:space="preserve"> Institute ITI</w:t>
      </w:r>
      <w:r w:rsidR="00B37B32" w:rsidRPr="00B211A6">
        <w:rPr>
          <w:sz w:val="28"/>
        </w:rPr>
        <w:br/>
      </w:r>
      <w:r w:rsidR="00B37B32" w:rsidRPr="00B211A6">
        <w:rPr>
          <w:rFonts w:ascii="Myriad Pro Cond" w:hAnsi="Myriad Pro Cond"/>
          <w:b/>
          <w:sz w:val="28"/>
        </w:rPr>
        <w:t>World Organization for the Performing Arts</w:t>
      </w:r>
      <w:r w:rsidR="00B37B32" w:rsidRPr="00B211A6">
        <w:br/>
      </w:r>
      <w:bookmarkStart w:id="0" w:name="_Hlk15175"/>
      <w:r w:rsidR="00B37B32">
        <w:rPr>
          <w:rFonts w:ascii="Garamond" w:hAnsi="Garamond" w:cs="Arial"/>
          <w:b/>
          <w:color w:val="8A157E"/>
          <w:sz w:val="24"/>
          <w:szCs w:val="24"/>
        </w:rPr>
        <w:br/>
      </w:r>
      <w:r w:rsidR="00FE77E7">
        <w:rPr>
          <w:rFonts w:ascii="Garamond" w:hAnsi="Garamond" w:cs="Arial"/>
          <w:b/>
          <w:color w:val="8A157E"/>
          <w:sz w:val="28"/>
          <w:szCs w:val="28"/>
        </w:rPr>
        <w:br/>
      </w:r>
      <w:r w:rsidR="00B37B32" w:rsidRPr="00863448">
        <w:rPr>
          <w:rFonts w:ascii="Garamond" w:hAnsi="Garamond" w:cs="Arial"/>
          <w:b/>
          <w:color w:val="8A157E"/>
          <w:sz w:val="28"/>
          <w:szCs w:val="28"/>
        </w:rPr>
        <w:t xml:space="preserve">World </w:t>
      </w:r>
      <w:r w:rsidR="00B37B32" w:rsidRPr="000D0BD0">
        <w:rPr>
          <w:rFonts w:ascii="Garamond" w:hAnsi="Garamond" w:cs="Arial"/>
          <w:b/>
          <w:color w:val="8A157E"/>
          <w:sz w:val="28"/>
          <w:szCs w:val="28"/>
        </w:rPr>
        <w:t>Theatre</w:t>
      </w:r>
      <w:r w:rsidR="00B37B32" w:rsidRPr="00863448">
        <w:rPr>
          <w:rFonts w:ascii="Garamond" w:hAnsi="Garamond" w:cs="Arial"/>
          <w:b/>
          <w:color w:val="8A157E"/>
          <w:sz w:val="28"/>
          <w:szCs w:val="28"/>
        </w:rPr>
        <w:t xml:space="preserve"> Day </w:t>
      </w:r>
      <w:r w:rsidR="00BE0DBF">
        <w:rPr>
          <w:rFonts w:ascii="Garamond" w:hAnsi="Garamond" w:cs="Arial"/>
          <w:b/>
          <w:color w:val="8A157E"/>
          <w:sz w:val="28"/>
          <w:szCs w:val="28"/>
        </w:rPr>
        <w:t>2021 – 27 March</w:t>
      </w:r>
      <w:bookmarkStart w:id="1" w:name="_GoBack"/>
      <w:bookmarkEnd w:id="1"/>
      <w:r w:rsidR="00FE77E7">
        <w:rPr>
          <w:rFonts w:ascii="Garamond" w:hAnsi="Garamond" w:cs="Arial"/>
          <w:b/>
          <w:color w:val="8A157E"/>
          <w:sz w:val="28"/>
          <w:szCs w:val="28"/>
        </w:rPr>
        <w:br/>
      </w:r>
      <w:r w:rsidR="00BE0DBF">
        <w:rPr>
          <w:rFonts w:ascii="Garamond" w:hAnsi="Garamond" w:cs="Arial"/>
          <w:b/>
          <w:color w:val="8A157E"/>
          <w:sz w:val="28"/>
          <w:szCs w:val="28"/>
        </w:rPr>
        <w:br/>
      </w:r>
      <w:r w:rsidR="00997309">
        <w:rPr>
          <w:rFonts w:ascii="Garamond" w:hAnsi="Garamond" w:cs="Arial"/>
          <w:b/>
          <w:sz w:val="28"/>
          <w:szCs w:val="28"/>
        </w:rPr>
        <w:t xml:space="preserve">Biography of </w:t>
      </w:r>
      <w:r w:rsidR="00BE0DBF" w:rsidRPr="00BE0DBF">
        <w:rPr>
          <w:rFonts w:ascii="Garamond" w:hAnsi="Garamond" w:cs="Arial"/>
          <w:b/>
          <w:sz w:val="28"/>
          <w:szCs w:val="28"/>
        </w:rPr>
        <w:t>Helen MIRRE</w:t>
      </w:r>
      <w:r w:rsidR="00806BA4">
        <w:rPr>
          <w:rFonts w:ascii="Garamond" w:hAnsi="Garamond" w:cs="Arial"/>
          <w:b/>
          <w:sz w:val="28"/>
          <w:szCs w:val="28"/>
        </w:rPr>
        <w:t xml:space="preserve">N, </w:t>
      </w:r>
      <w:r w:rsidR="00806BA4" w:rsidRPr="00806BA4">
        <w:rPr>
          <w:rFonts w:ascii="Garamond" w:hAnsi="Garamond" w:cs="Arial"/>
          <w:bCs/>
          <w:sz w:val="28"/>
          <w:szCs w:val="28"/>
        </w:rPr>
        <w:t>United Kingdom</w:t>
      </w:r>
      <w:r w:rsidR="00B37B32" w:rsidRPr="00AA5CC6">
        <w:rPr>
          <w:rFonts w:ascii="Garamond" w:hAnsi="Garamond" w:cs="Arial"/>
          <w:b/>
          <w:sz w:val="24"/>
          <w:szCs w:val="24"/>
        </w:rPr>
        <w:br/>
      </w:r>
      <w:r w:rsidR="00997309">
        <w:rPr>
          <w:rFonts w:ascii="Garamond" w:hAnsi="Garamond" w:cs="Arial"/>
          <w:bCs/>
          <w:sz w:val="28"/>
          <w:szCs w:val="28"/>
        </w:rPr>
        <w:t>S</w:t>
      </w:r>
      <w:r w:rsidRPr="000D0BD0">
        <w:rPr>
          <w:rFonts w:ascii="Garamond" w:hAnsi="Garamond" w:cs="Arial"/>
          <w:bCs/>
          <w:sz w:val="28"/>
          <w:szCs w:val="28"/>
        </w:rPr>
        <w:t xml:space="preserve">tage, </w:t>
      </w:r>
      <w:r w:rsidR="00997309">
        <w:rPr>
          <w:rFonts w:ascii="Garamond" w:hAnsi="Garamond" w:cs="Arial"/>
          <w:bCs/>
          <w:sz w:val="28"/>
          <w:szCs w:val="28"/>
        </w:rPr>
        <w:t>S</w:t>
      </w:r>
      <w:r w:rsidRPr="000D0BD0">
        <w:rPr>
          <w:rFonts w:ascii="Garamond" w:hAnsi="Garamond" w:cs="Arial"/>
          <w:bCs/>
          <w:sz w:val="28"/>
          <w:szCs w:val="28"/>
        </w:rPr>
        <w:t xml:space="preserve">creen </w:t>
      </w:r>
      <w:r w:rsidR="00997309">
        <w:rPr>
          <w:rFonts w:ascii="Garamond" w:hAnsi="Garamond" w:cs="Arial"/>
          <w:bCs/>
          <w:sz w:val="28"/>
          <w:szCs w:val="28"/>
        </w:rPr>
        <w:t>&amp;</w:t>
      </w:r>
      <w:r w:rsidRPr="000D0BD0">
        <w:rPr>
          <w:rFonts w:ascii="Garamond" w:hAnsi="Garamond" w:cs="Arial"/>
          <w:bCs/>
          <w:sz w:val="28"/>
          <w:szCs w:val="28"/>
        </w:rPr>
        <w:t xml:space="preserve"> </w:t>
      </w:r>
      <w:r w:rsidR="00997309">
        <w:rPr>
          <w:rFonts w:ascii="Garamond" w:hAnsi="Garamond" w:cs="Arial"/>
          <w:bCs/>
          <w:sz w:val="28"/>
          <w:szCs w:val="28"/>
        </w:rPr>
        <w:t>T</w:t>
      </w:r>
      <w:r w:rsidRPr="000D0BD0">
        <w:rPr>
          <w:rFonts w:ascii="Garamond" w:hAnsi="Garamond" w:cs="Arial"/>
          <w:bCs/>
          <w:sz w:val="28"/>
          <w:szCs w:val="28"/>
        </w:rPr>
        <w:t>elevision</w:t>
      </w:r>
      <w:r w:rsidR="00997309">
        <w:rPr>
          <w:rFonts w:ascii="Garamond" w:hAnsi="Garamond" w:cs="Arial"/>
          <w:bCs/>
          <w:sz w:val="28"/>
          <w:szCs w:val="28"/>
        </w:rPr>
        <w:t xml:space="preserve"> Actress</w:t>
      </w:r>
      <w:r w:rsidR="00863448">
        <w:rPr>
          <w:rFonts w:ascii="Garamond" w:hAnsi="Garamond" w:cs="Arial"/>
          <w:b/>
          <w:sz w:val="24"/>
          <w:szCs w:val="24"/>
        </w:rPr>
        <w:br/>
      </w:r>
    </w:p>
    <w:p w14:paraId="2703BF4E" w14:textId="5CC159A8" w:rsidR="00BE0DBF" w:rsidRPr="000D0BD0" w:rsidRDefault="00B37B32" w:rsidP="00863448">
      <w:pPr>
        <w:pBdr>
          <w:bottom w:val="single" w:sz="6" w:space="1" w:color="auto"/>
        </w:pBdr>
        <w:spacing w:line="360" w:lineRule="auto"/>
        <w:rPr>
          <w:rFonts w:ascii="Garamond" w:hAnsi="Garamond" w:cs="Arial"/>
          <w:color w:val="8A157E"/>
          <w:sz w:val="24"/>
          <w:szCs w:val="24"/>
        </w:rPr>
      </w:pPr>
      <w:r w:rsidRPr="00AB230B">
        <w:rPr>
          <w:rFonts w:ascii="Garamond" w:hAnsi="Garamond" w:cs="Arial"/>
          <w:color w:val="8A157E"/>
          <w:sz w:val="24"/>
          <w:szCs w:val="24"/>
        </w:rPr>
        <w:t>English</w:t>
      </w:r>
      <w:r>
        <w:rPr>
          <w:rFonts w:ascii="Garamond" w:hAnsi="Garamond" w:cs="Arial"/>
          <w:color w:val="8A157E"/>
          <w:sz w:val="24"/>
          <w:szCs w:val="24"/>
        </w:rPr>
        <w:t xml:space="preserve"> (original)</w:t>
      </w:r>
      <w:r w:rsidR="005B0351">
        <w:rPr>
          <w:rFonts w:ascii="Garamond" w:hAnsi="Garamond" w:cs="Arial"/>
          <w:color w:val="8A157E"/>
          <w:sz w:val="24"/>
          <w:szCs w:val="24"/>
        </w:rPr>
        <w:t xml:space="preserve"> </w:t>
      </w:r>
      <w:bookmarkEnd w:id="0"/>
    </w:p>
    <w:p w14:paraId="26E23463" w14:textId="43B51A31" w:rsidR="000D0BD0" w:rsidRDefault="00997309" w:rsidP="00997309">
      <w:pPr>
        <w:spacing w:after="0" w:line="276" w:lineRule="auto"/>
        <w:rPr>
          <w:rFonts w:ascii="Garamond" w:hAnsi="Garamond" w:cs="Arial"/>
          <w:b/>
          <w:color w:val="8A157E"/>
          <w:sz w:val="28"/>
          <w:szCs w:val="28"/>
        </w:rPr>
      </w:pPr>
      <w:r>
        <w:rPr>
          <w:rFonts w:ascii="Garamond" w:hAnsi="Garamond" w:cs="Arial"/>
          <w:b/>
          <w:color w:val="8A157E"/>
          <w:sz w:val="28"/>
          <w:szCs w:val="28"/>
        </w:rPr>
        <w:br/>
        <w:t>Helen MIRREN</w:t>
      </w:r>
      <w:r>
        <w:rPr>
          <w:rFonts w:ascii="Garamond" w:hAnsi="Garamond" w:cs="Arial"/>
          <w:b/>
          <w:color w:val="8A157E"/>
          <w:sz w:val="28"/>
          <w:szCs w:val="28"/>
        </w:rPr>
        <w:br/>
      </w:r>
      <w:r w:rsidRPr="00997309">
        <w:rPr>
          <w:rFonts w:ascii="Garamond" w:hAnsi="Garamond" w:cs="Arial"/>
          <w:bCs/>
          <w:color w:val="8A157E"/>
          <w:sz w:val="28"/>
          <w:szCs w:val="28"/>
        </w:rPr>
        <w:t>Stage, Screen and Television Actress</w:t>
      </w:r>
    </w:p>
    <w:p w14:paraId="6B61CEEB" w14:textId="281E2538"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r>
        <w:rPr>
          <w:rFonts w:ascii="Garamond" w:hAnsi="Garamond"/>
          <w:sz w:val="22"/>
          <w:szCs w:val="22"/>
          <w:lang w:val="en-GB"/>
        </w:rPr>
        <w:br/>
      </w:r>
      <w:r w:rsidRPr="00997309">
        <w:rPr>
          <w:rFonts w:ascii="Garamond" w:hAnsi="Garamond"/>
          <w:sz w:val="22"/>
          <w:szCs w:val="22"/>
          <w:lang w:val="en-GB"/>
        </w:rPr>
        <w:t>Helen Mirren is a one of the best known and most respected actresses with an international career that spans stage, screen and television and has won many awards for her powerful and versatile performances, including the Academy Award in 2007 for her performance in </w:t>
      </w:r>
      <w:r w:rsidRPr="00997309">
        <w:rPr>
          <w:rFonts w:ascii="Garamond" w:hAnsi="Garamond"/>
          <w:i/>
          <w:iCs/>
          <w:sz w:val="22"/>
          <w:szCs w:val="22"/>
          <w:lang w:val="en-GB"/>
        </w:rPr>
        <w:t>The Queen</w:t>
      </w:r>
      <w:r w:rsidRPr="00997309">
        <w:rPr>
          <w:rFonts w:ascii="Garamond" w:hAnsi="Garamond"/>
          <w:sz w:val="22"/>
          <w:szCs w:val="22"/>
          <w:lang w:val="en-GB"/>
        </w:rPr>
        <w:t>.</w:t>
      </w:r>
      <w:r w:rsidRPr="00997309">
        <w:rPr>
          <w:rFonts w:ascii="Garamond" w:hAnsi="Garamond"/>
          <w:b/>
          <w:bCs/>
          <w:i/>
          <w:iCs/>
          <w:sz w:val="22"/>
          <w:szCs w:val="22"/>
          <w:lang w:val="en-GB"/>
        </w:rPr>
        <w:t> </w:t>
      </w:r>
    </w:p>
    <w:p w14:paraId="224C07F5" w14:textId="77777777"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p>
    <w:p w14:paraId="59D9FBC6" w14:textId="77777777"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r w:rsidRPr="00997309">
        <w:rPr>
          <w:rFonts w:ascii="Garamond" w:hAnsi="Garamond"/>
          <w:b/>
          <w:bCs/>
          <w:sz w:val="22"/>
          <w:szCs w:val="22"/>
          <w:lang w:val="en-GB"/>
        </w:rPr>
        <w:t>Theatre</w:t>
      </w:r>
      <w:r w:rsidRPr="00997309">
        <w:rPr>
          <w:rFonts w:ascii="Garamond" w:hAnsi="Garamond"/>
          <w:b/>
          <w:bCs/>
          <w:sz w:val="22"/>
          <w:szCs w:val="22"/>
          <w:lang w:val="en-GB"/>
        </w:rPr>
        <w:br/>
      </w:r>
      <w:r w:rsidRPr="00997309">
        <w:rPr>
          <w:rFonts w:ascii="Garamond" w:hAnsi="Garamond"/>
          <w:sz w:val="22"/>
          <w:szCs w:val="22"/>
          <w:lang w:val="en-GB"/>
        </w:rPr>
        <w:t xml:space="preserve">Helen Mirren began her career playing Cleopatra with the National Youth Theatre. She then appeared in rep in Manchester and from there she joined the Royal Shakespeare Company.  After four notable years at the RSC Helen took a complete change of direction, when she went to work with renowned director Peter Brook’s theatre company Centre de Recherche </w:t>
      </w:r>
      <w:proofErr w:type="spellStart"/>
      <w:r w:rsidRPr="00997309">
        <w:rPr>
          <w:rFonts w:ascii="Garamond" w:hAnsi="Garamond"/>
          <w:sz w:val="22"/>
          <w:szCs w:val="22"/>
          <w:lang w:val="en-GB"/>
        </w:rPr>
        <w:t>Théâtral</w:t>
      </w:r>
      <w:proofErr w:type="spellEnd"/>
      <w:r w:rsidRPr="00997309">
        <w:rPr>
          <w:rFonts w:ascii="Garamond" w:hAnsi="Garamond"/>
          <w:sz w:val="22"/>
          <w:szCs w:val="22"/>
          <w:lang w:val="en-GB"/>
        </w:rPr>
        <w:t xml:space="preserve"> and toured Africa and America.  </w:t>
      </w:r>
    </w:p>
    <w:p w14:paraId="1A9CB67F" w14:textId="77777777"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p>
    <w:p w14:paraId="0911D844" w14:textId="77777777"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r w:rsidRPr="00997309">
        <w:rPr>
          <w:rFonts w:ascii="Garamond" w:hAnsi="Garamond"/>
          <w:sz w:val="22"/>
          <w:szCs w:val="22"/>
          <w:lang w:val="en-GB"/>
        </w:rPr>
        <w:t>Since then her theatre work has spanned numerous productions in the West End, the Fringe, the RSC, the National Theatre and Broadway in the US including</w:t>
      </w:r>
      <w:r w:rsidRPr="00997309">
        <w:rPr>
          <w:rFonts w:ascii="Garamond" w:hAnsi="Garamond"/>
          <w:i/>
          <w:iCs/>
          <w:sz w:val="22"/>
          <w:szCs w:val="22"/>
          <w:lang w:val="en-GB"/>
        </w:rPr>
        <w:t> A Month in the Country</w:t>
      </w:r>
      <w:r w:rsidRPr="00997309">
        <w:rPr>
          <w:rFonts w:ascii="Garamond" w:hAnsi="Garamond"/>
          <w:sz w:val="22"/>
          <w:szCs w:val="22"/>
          <w:lang w:val="en-GB"/>
        </w:rPr>
        <w:t>, for which she received a Tony nomination and </w:t>
      </w:r>
      <w:r w:rsidRPr="00997309">
        <w:rPr>
          <w:rFonts w:ascii="Garamond" w:hAnsi="Garamond"/>
          <w:i/>
          <w:iCs/>
          <w:sz w:val="22"/>
          <w:szCs w:val="22"/>
          <w:lang w:val="en-GB"/>
        </w:rPr>
        <w:t>The Dance of Death </w:t>
      </w:r>
      <w:r w:rsidRPr="00997309">
        <w:rPr>
          <w:rFonts w:ascii="Garamond" w:hAnsi="Garamond"/>
          <w:sz w:val="22"/>
          <w:szCs w:val="22"/>
          <w:lang w:val="en-GB"/>
        </w:rPr>
        <w:t xml:space="preserve">on Broadway opposite Ian </w:t>
      </w:r>
      <w:proofErr w:type="spellStart"/>
      <w:r w:rsidRPr="00997309">
        <w:rPr>
          <w:rFonts w:ascii="Garamond" w:hAnsi="Garamond"/>
          <w:sz w:val="22"/>
          <w:szCs w:val="22"/>
          <w:lang w:val="en-GB"/>
        </w:rPr>
        <w:t>McKellan</w:t>
      </w:r>
      <w:proofErr w:type="spellEnd"/>
      <w:r w:rsidRPr="00997309">
        <w:rPr>
          <w:rFonts w:ascii="Garamond" w:hAnsi="Garamond"/>
          <w:sz w:val="22"/>
          <w:szCs w:val="22"/>
          <w:lang w:val="en-GB"/>
        </w:rPr>
        <w:t>. </w:t>
      </w:r>
    </w:p>
    <w:p w14:paraId="0CA2700A" w14:textId="77777777"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p>
    <w:p w14:paraId="4EB0E01C" w14:textId="77777777"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r w:rsidRPr="00997309">
        <w:rPr>
          <w:rFonts w:ascii="Garamond" w:hAnsi="Garamond"/>
          <w:sz w:val="22"/>
          <w:szCs w:val="22"/>
          <w:lang w:val="en-GB"/>
        </w:rPr>
        <w:t>Subsequent productions include </w:t>
      </w:r>
      <w:r w:rsidRPr="00997309">
        <w:rPr>
          <w:rFonts w:ascii="Garamond" w:hAnsi="Garamond"/>
          <w:i/>
          <w:iCs/>
          <w:sz w:val="22"/>
          <w:szCs w:val="22"/>
          <w:lang w:val="en-GB"/>
        </w:rPr>
        <w:t>Orpheus Descending</w:t>
      </w:r>
      <w:r w:rsidRPr="00997309">
        <w:rPr>
          <w:rFonts w:ascii="Garamond" w:hAnsi="Garamond"/>
          <w:sz w:val="22"/>
          <w:szCs w:val="22"/>
          <w:lang w:val="en-GB"/>
        </w:rPr>
        <w:t xml:space="preserve"> at the </w:t>
      </w:r>
      <w:proofErr w:type="spellStart"/>
      <w:r w:rsidRPr="00997309">
        <w:rPr>
          <w:rFonts w:ascii="Garamond" w:hAnsi="Garamond"/>
          <w:sz w:val="22"/>
          <w:szCs w:val="22"/>
          <w:lang w:val="en-GB"/>
        </w:rPr>
        <w:t>Donmar</w:t>
      </w:r>
      <w:proofErr w:type="spellEnd"/>
      <w:r w:rsidRPr="00997309">
        <w:rPr>
          <w:rFonts w:ascii="Garamond" w:hAnsi="Garamond"/>
          <w:sz w:val="22"/>
          <w:szCs w:val="22"/>
          <w:lang w:val="en-GB"/>
        </w:rPr>
        <w:t xml:space="preserve"> Warehouse and </w:t>
      </w:r>
      <w:r w:rsidRPr="00997309">
        <w:rPr>
          <w:rFonts w:ascii="Garamond" w:hAnsi="Garamond"/>
          <w:i/>
          <w:iCs/>
          <w:sz w:val="22"/>
          <w:szCs w:val="22"/>
          <w:lang w:val="en-GB"/>
        </w:rPr>
        <w:t>Mourning Becomes Electra</w:t>
      </w:r>
      <w:r w:rsidRPr="00997309">
        <w:rPr>
          <w:rFonts w:ascii="Garamond" w:hAnsi="Garamond"/>
          <w:sz w:val="22"/>
          <w:szCs w:val="22"/>
          <w:lang w:val="en-GB"/>
        </w:rPr>
        <w:t> at the National Theatre for which she was nominated for an Olivier Best Actress Award. </w:t>
      </w:r>
    </w:p>
    <w:p w14:paraId="72928004" w14:textId="77777777"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p>
    <w:p w14:paraId="7945FE3A" w14:textId="77777777"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r w:rsidRPr="00997309">
        <w:rPr>
          <w:rFonts w:ascii="Garamond" w:hAnsi="Garamond"/>
          <w:sz w:val="22"/>
          <w:szCs w:val="22"/>
          <w:lang w:val="en-GB"/>
        </w:rPr>
        <w:t>She returned to the National Theatre in 2009 in the title role of Racine’s </w:t>
      </w:r>
      <w:proofErr w:type="spellStart"/>
      <w:r w:rsidRPr="00997309">
        <w:rPr>
          <w:rFonts w:ascii="Garamond" w:hAnsi="Garamond"/>
          <w:i/>
          <w:iCs/>
          <w:sz w:val="22"/>
          <w:szCs w:val="22"/>
          <w:lang w:val="en-GB"/>
        </w:rPr>
        <w:t>Phèdre</w:t>
      </w:r>
      <w:proofErr w:type="spellEnd"/>
      <w:r w:rsidRPr="00997309">
        <w:rPr>
          <w:rFonts w:ascii="Garamond" w:hAnsi="Garamond"/>
          <w:sz w:val="22"/>
          <w:szCs w:val="22"/>
          <w:lang w:val="en-GB"/>
        </w:rPr>
        <w:t xml:space="preserve"> directed by Nicholas </w:t>
      </w:r>
      <w:proofErr w:type="spellStart"/>
      <w:r w:rsidRPr="00997309">
        <w:rPr>
          <w:rFonts w:ascii="Garamond" w:hAnsi="Garamond"/>
          <w:sz w:val="22"/>
          <w:szCs w:val="22"/>
          <w:lang w:val="en-GB"/>
        </w:rPr>
        <w:t>Hytner</w:t>
      </w:r>
      <w:proofErr w:type="spellEnd"/>
      <w:r w:rsidRPr="00997309">
        <w:rPr>
          <w:rFonts w:ascii="Garamond" w:hAnsi="Garamond"/>
          <w:sz w:val="22"/>
          <w:szCs w:val="22"/>
          <w:lang w:val="en-GB"/>
        </w:rPr>
        <w:t xml:space="preserve">. This made history when it became the first theatre production to be filmed for </w:t>
      </w:r>
      <w:proofErr w:type="spellStart"/>
      <w:r w:rsidRPr="00997309">
        <w:rPr>
          <w:rFonts w:ascii="Garamond" w:hAnsi="Garamond"/>
          <w:sz w:val="22"/>
          <w:szCs w:val="22"/>
          <w:lang w:val="en-GB"/>
        </w:rPr>
        <w:t>NTLive</w:t>
      </w:r>
      <w:proofErr w:type="spellEnd"/>
      <w:r w:rsidRPr="00997309">
        <w:rPr>
          <w:rFonts w:ascii="Garamond" w:hAnsi="Garamond"/>
          <w:sz w:val="22"/>
          <w:szCs w:val="22"/>
          <w:lang w:val="en-GB"/>
        </w:rPr>
        <w:t xml:space="preserve"> and seen in cinemas throughout the world.  </w:t>
      </w:r>
    </w:p>
    <w:p w14:paraId="0D37031D" w14:textId="77777777"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p>
    <w:p w14:paraId="127F35BF" w14:textId="77777777"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r w:rsidRPr="00997309">
        <w:rPr>
          <w:rFonts w:ascii="Garamond" w:hAnsi="Garamond"/>
          <w:sz w:val="22"/>
          <w:szCs w:val="22"/>
          <w:lang w:val="en-GB"/>
        </w:rPr>
        <w:t>In her most recent performance in 2013 in London’s West End, she reprised her role of Queen Elizabeth II in </w:t>
      </w:r>
      <w:r w:rsidRPr="00997309">
        <w:rPr>
          <w:rFonts w:ascii="Garamond" w:hAnsi="Garamond"/>
          <w:i/>
          <w:iCs/>
          <w:sz w:val="22"/>
          <w:szCs w:val="22"/>
          <w:lang w:val="en-GB"/>
        </w:rPr>
        <w:t>The Audience</w:t>
      </w:r>
      <w:r w:rsidRPr="00997309">
        <w:rPr>
          <w:rFonts w:ascii="Garamond" w:hAnsi="Garamond"/>
          <w:sz w:val="22"/>
          <w:szCs w:val="22"/>
          <w:lang w:val="en-GB"/>
        </w:rPr>
        <w:t xml:space="preserve"> by Peter Morgan and directed by Stephen </w:t>
      </w:r>
      <w:proofErr w:type="spellStart"/>
      <w:r w:rsidRPr="00997309">
        <w:rPr>
          <w:rFonts w:ascii="Garamond" w:hAnsi="Garamond"/>
          <w:sz w:val="22"/>
          <w:szCs w:val="22"/>
          <w:lang w:val="en-GB"/>
        </w:rPr>
        <w:t>Daldry</w:t>
      </w:r>
      <w:proofErr w:type="spellEnd"/>
      <w:r w:rsidRPr="00997309">
        <w:rPr>
          <w:rFonts w:ascii="Garamond" w:hAnsi="Garamond"/>
          <w:sz w:val="22"/>
          <w:szCs w:val="22"/>
          <w:lang w:val="en-GB"/>
        </w:rPr>
        <w:t>. </w:t>
      </w:r>
    </w:p>
    <w:p w14:paraId="353D9B6E" w14:textId="77777777"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p>
    <w:p w14:paraId="1780A9E6" w14:textId="77777777"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r w:rsidRPr="00997309">
        <w:rPr>
          <w:rFonts w:ascii="Garamond" w:hAnsi="Garamond"/>
          <w:sz w:val="22"/>
          <w:szCs w:val="22"/>
          <w:lang w:val="en-GB"/>
        </w:rPr>
        <w:t xml:space="preserve">She won an Olivier Award and a What’s </w:t>
      </w:r>
      <w:proofErr w:type="gramStart"/>
      <w:r w:rsidRPr="00997309">
        <w:rPr>
          <w:rFonts w:ascii="Garamond" w:hAnsi="Garamond"/>
          <w:sz w:val="22"/>
          <w:szCs w:val="22"/>
          <w:lang w:val="en-GB"/>
        </w:rPr>
        <w:t>On</w:t>
      </w:r>
      <w:proofErr w:type="gramEnd"/>
      <w:r w:rsidRPr="00997309">
        <w:rPr>
          <w:rFonts w:ascii="Garamond" w:hAnsi="Garamond"/>
          <w:sz w:val="22"/>
          <w:szCs w:val="22"/>
          <w:lang w:val="en-GB"/>
        </w:rPr>
        <w:t xml:space="preserve"> Stage award for Best Actress. In February 2015 </w:t>
      </w:r>
      <w:r w:rsidRPr="00997309">
        <w:rPr>
          <w:rFonts w:ascii="Garamond" w:hAnsi="Garamond"/>
          <w:i/>
          <w:iCs/>
          <w:sz w:val="22"/>
          <w:szCs w:val="22"/>
          <w:lang w:val="en-GB"/>
        </w:rPr>
        <w:t>The Audience</w:t>
      </w:r>
      <w:r w:rsidRPr="00997309">
        <w:rPr>
          <w:rFonts w:ascii="Garamond" w:hAnsi="Garamond"/>
          <w:sz w:val="22"/>
          <w:szCs w:val="22"/>
          <w:lang w:val="en-GB"/>
        </w:rPr>
        <w:t> transferred to the Gerald Schoenfeld Theatre, New York with Helen Mirren still in the title role, for which she won the Tony Awards for Best Actress.</w:t>
      </w:r>
    </w:p>
    <w:p w14:paraId="3E02955A" w14:textId="77777777"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r w:rsidRPr="00997309">
        <w:rPr>
          <w:rFonts w:ascii="Garamond" w:hAnsi="Garamond"/>
          <w:sz w:val="22"/>
          <w:szCs w:val="22"/>
          <w:lang w:val="en-GB"/>
        </w:rPr>
        <w:br/>
      </w:r>
      <w:r w:rsidRPr="00997309">
        <w:rPr>
          <w:rFonts w:ascii="Garamond" w:hAnsi="Garamond"/>
          <w:b/>
          <w:bCs/>
          <w:sz w:val="22"/>
          <w:szCs w:val="22"/>
          <w:lang w:val="en-GB"/>
        </w:rPr>
        <w:t>Film &amp; Television</w:t>
      </w:r>
    </w:p>
    <w:p w14:paraId="04286B66" w14:textId="3247907A"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r w:rsidRPr="00997309">
        <w:rPr>
          <w:rFonts w:ascii="Garamond" w:hAnsi="Garamond"/>
          <w:sz w:val="22"/>
          <w:szCs w:val="22"/>
          <w:lang w:val="en-GB"/>
        </w:rPr>
        <w:t>Additionally,</w:t>
      </w:r>
      <w:r w:rsidRPr="00997309">
        <w:rPr>
          <w:rFonts w:ascii="Garamond" w:hAnsi="Garamond"/>
          <w:sz w:val="22"/>
          <w:szCs w:val="22"/>
          <w:lang w:val="en-GB"/>
        </w:rPr>
        <w:t xml:space="preserve"> to her career on the stage, Helen Mirren is very well known for our outstanding achievements on screen and television. </w:t>
      </w:r>
    </w:p>
    <w:p w14:paraId="1DACE965" w14:textId="77777777"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p>
    <w:p w14:paraId="0D828A28" w14:textId="77777777"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r w:rsidRPr="00997309">
        <w:rPr>
          <w:rFonts w:ascii="Garamond" w:hAnsi="Garamond"/>
          <w:sz w:val="22"/>
          <w:szCs w:val="22"/>
          <w:lang w:val="en-GB"/>
        </w:rPr>
        <w:t>In 2003 Helen Mirren was appointed a Dame of the British Empire.</w:t>
      </w:r>
    </w:p>
    <w:p w14:paraId="63FAD86D" w14:textId="77777777" w:rsidR="00997309"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p>
    <w:p w14:paraId="3691E7FE" w14:textId="7E7E7813" w:rsidR="00F87D6F" w:rsidRPr="00997309" w:rsidRDefault="00997309" w:rsidP="00997309">
      <w:pPr>
        <w:pStyle w:val="StandardWeb"/>
        <w:shd w:val="clear" w:color="auto" w:fill="FFFFFF"/>
        <w:spacing w:before="0" w:beforeAutospacing="0" w:after="0" w:afterAutospacing="0"/>
        <w:rPr>
          <w:rFonts w:ascii="Garamond" w:hAnsi="Garamond"/>
          <w:sz w:val="22"/>
          <w:szCs w:val="22"/>
          <w:lang w:val="en-GB"/>
        </w:rPr>
      </w:pPr>
      <w:r w:rsidRPr="00997309">
        <w:rPr>
          <w:rFonts w:ascii="Garamond" w:hAnsi="Garamond"/>
          <w:sz w:val="22"/>
          <w:szCs w:val="22"/>
          <w:lang w:val="en-GB"/>
        </w:rPr>
        <w:t>More details about her work on stage, screen and television as well as the charities that she reports and her life can be found on her own website: </w:t>
      </w:r>
      <w:hyperlink r:id="rId7" w:tgtFrame="_blank" w:history="1">
        <w:r w:rsidRPr="00997309">
          <w:rPr>
            <w:rStyle w:val="Hyperlink"/>
            <w:rFonts w:ascii="Garamond" w:hAnsi="Garamond"/>
            <w:b/>
            <w:bCs/>
            <w:color w:val="auto"/>
            <w:sz w:val="22"/>
            <w:szCs w:val="22"/>
            <w:lang w:val="en-GB"/>
          </w:rPr>
          <w:t>www.helenmirren.com</w:t>
        </w:r>
      </w:hyperlink>
    </w:p>
    <w:sectPr w:rsidR="00F87D6F" w:rsidRPr="00997309" w:rsidSect="00997309">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20B0506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kwrQUA4MkyqCwAAAA="/>
  </w:docVars>
  <w:rsids>
    <w:rsidRoot w:val="00B37B32"/>
    <w:rsid w:val="000D0BD0"/>
    <w:rsid w:val="0025792F"/>
    <w:rsid w:val="00306987"/>
    <w:rsid w:val="003765DA"/>
    <w:rsid w:val="0041753F"/>
    <w:rsid w:val="005451BC"/>
    <w:rsid w:val="005B0351"/>
    <w:rsid w:val="005F6EA0"/>
    <w:rsid w:val="00631B29"/>
    <w:rsid w:val="00801F27"/>
    <w:rsid w:val="00802B21"/>
    <w:rsid w:val="00806BA4"/>
    <w:rsid w:val="00863448"/>
    <w:rsid w:val="00997309"/>
    <w:rsid w:val="00AD05C8"/>
    <w:rsid w:val="00B37B32"/>
    <w:rsid w:val="00BE0DBF"/>
    <w:rsid w:val="00C25482"/>
    <w:rsid w:val="00CE5B59"/>
    <w:rsid w:val="00E90F1F"/>
    <w:rsid w:val="00F7270F"/>
    <w:rsid w:val="00F87D6F"/>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37B32"/>
    <w:rPr>
      <w:color w:val="0000FF"/>
      <w:u w:val="single"/>
    </w:rPr>
  </w:style>
  <w:style w:type="paragraph" w:styleId="Listenabsatz">
    <w:name w:val="List Paragraph"/>
    <w:basedOn w:val="Standard"/>
    <w:uiPriority w:val="34"/>
    <w:qFormat/>
    <w:rsid w:val="003765DA"/>
    <w:pPr>
      <w:ind w:left="720"/>
      <w:contextualSpacing/>
    </w:pPr>
  </w:style>
  <w:style w:type="paragraph" w:styleId="Funotentext">
    <w:name w:val="footnote text"/>
    <w:basedOn w:val="Standard"/>
    <w:link w:val="FunotentextZchn"/>
    <w:uiPriority w:val="99"/>
    <w:semiHidden/>
    <w:unhideWhenUsed/>
    <w:rsid w:val="003765DA"/>
    <w:pPr>
      <w:spacing w:after="0" w:line="240" w:lineRule="auto"/>
    </w:pPr>
    <w:rPr>
      <w:sz w:val="20"/>
      <w:szCs w:val="20"/>
      <w:lang w:val="en-US" w:eastAsia="ja-JP"/>
    </w:rPr>
  </w:style>
  <w:style w:type="character" w:customStyle="1" w:styleId="FunotentextZchn">
    <w:name w:val="Fußnotentext Zchn"/>
    <w:basedOn w:val="Absatz-Standardschriftart"/>
    <w:link w:val="Funotentext"/>
    <w:uiPriority w:val="99"/>
    <w:semiHidden/>
    <w:rsid w:val="003765DA"/>
    <w:rPr>
      <w:sz w:val="20"/>
      <w:szCs w:val="20"/>
      <w:lang w:eastAsia="ja-JP"/>
    </w:rPr>
  </w:style>
  <w:style w:type="character" w:styleId="Funotenzeichen">
    <w:name w:val="footnote reference"/>
    <w:basedOn w:val="Absatz-Standardschriftart"/>
    <w:uiPriority w:val="99"/>
    <w:semiHidden/>
    <w:unhideWhenUsed/>
    <w:rsid w:val="003765DA"/>
    <w:rPr>
      <w:vertAlign w:val="superscript"/>
    </w:rPr>
  </w:style>
  <w:style w:type="paragraph" w:styleId="StandardWeb">
    <w:name w:val="Normal (Web)"/>
    <w:basedOn w:val="Standard"/>
    <w:uiPriority w:val="99"/>
    <w:unhideWhenUsed/>
    <w:rsid w:val="00997309"/>
    <w:pPr>
      <w:spacing w:before="100" w:beforeAutospacing="1" w:after="100" w:afterAutospacing="1" w:line="240" w:lineRule="auto"/>
    </w:pPr>
    <w:rPr>
      <w:rFonts w:ascii="Times New Roman" w:eastAsia="Times New Roman" w:hAnsi="Times New Roman" w:cs="Times New Roman"/>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6575">
      <w:bodyDiv w:val="1"/>
      <w:marLeft w:val="0"/>
      <w:marRight w:val="0"/>
      <w:marTop w:val="0"/>
      <w:marBottom w:val="0"/>
      <w:divBdr>
        <w:top w:val="none" w:sz="0" w:space="0" w:color="auto"/>
        <w:left w:val="none" w:sz="0" w:space="0" w:color="auto"/>
        <w:bottom w:val="none" w:sz="0" w:space="0" w:color="auto"/>
        <w:right w:val="none" w:sz="0" w:space="0" w:color="auto"/>
      </w:divBdr>
    </w:div>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lenmirre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E5F10-DFC5-428A-B353-233CF5E4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Tobias Leutenegger</cp:lastModifiedBy>
  <cp:revision>3</cp:revision>
  <cp:lastPrinted>2020-02-20T11:23:00Z</cp:lastPrinted>
  <dcterms:created xsi:type="dcterms:W3CDTF">2021-03-04T18:50:00Z</dcterms:created>
  <dcterms:modified xsi:type="dcterms:W3CDTF">2021-03-04T19:00:00Z</dcterms:modified>
</cp:coreProperties>
</file>